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line="240" w:lineRule="auto"/>
        <w:outlineLvl w:val="2"/>
        <w:rPr>
          <w:rFonts w:ascii="Arial" w:hAnsi="Arial"/>
          <w:b w:val="1"/>
          <w:bCs w:val="1"/>
          <w:outline w:val="0"/>
          <w:color w:val="000000"/>
          <w:sz w:val="24"/>
          <w:szCs w:val="24"/>
          <w:u w:val="single" w:color="000000"/>
          <w14:textFill>
            <w14:solidFill>
              <w14:srgbClr w14:val="000000"/>
            </w14:solidFill>
          </w14:textFill>
        </w:rPr>
      </w:pPr>
    </w:p>
    <w:p>
      <w:pPr>
        <w:pStyle w:val="Body"/>
        <w:spacing w:after="0" w:line="240" w:lineRule="auto"/>
        <w:jc w:val="center"/>
        <w:outlineLvl w:val="3"/>
        <w:rPr>
          <w:rFonts w:ascii="Arial" w:cs="Arial" w:hAnsi="Arial" w:eastAsia="Arial"/>
          <w:b w:val="1"/>
          <w:bCs w:val="1"/>
          <w:outline w:val="0"/>
          <w:color w:val="000000"/>
          <w:sz w:val="24"/>
          <w:szCs w:val="24"/>
          <w:u w:val="single" w:color="000000"/>
          <w14:textFill>
            <w14:solidFill>
              <w14:srgbClr w14:val="000000"/>
            </w14:solidFill>
          </w14:textFill>
        </w:rPr>
      </w:pPr>
      <w:r>
        <w:rPr>
          <w:rFonts w:ascii="Arial" w:hAnsi="Arial"/>
          <w:b w:val="1"/>
          <w:bCs w:val="1"/>
          <w:outline w:val="0"/>
          <w:color w:val="000000"/>
          <w:sz w:val="24"/>
          <w:szCs w:val="24"/>
          <w:u w:val="single" w:color="000000"/>
          <w:rtl w:val="0"/>
          <w:lang w:val="en-US"/>
          <w14:textFill>
            <w14:solidFill>
              <w14:srgbClr w14:val="000000"/>
            </w14:solidFill>
          </w14:textFill>
        </w:rPr>
        <w:t>Post-course report form</w:t>
      </w: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r>
        <w:rPr>
          <w:rFonts w:ascii="Arial" w:hAnsi="Arial"/>
          <w:b w:val="1"/>
          <w:bCs w:val="1"/>
          <w:outline w:val="0"/>
          <w:color w:val="000000"/>
          <w:sz w:val="24"/>
          <w:szCs w:val="24"/>
          <w:u w:color="000000"/>
          <w:rtl w:val="0"/>
          <w:lang w:val="de-DE"/>
          <w14:textFill>
            <w14:solidFill>
              <w14:srgbClr w14:val="000000"/>
            </w14:solidFill>
          </w14:textFill>
        </w:rPr>
        <w:t xml:space="preserve">Name: </w:t>
      </w:r>
      <w:r>
        <w:rPr>
          <w:rFonts w:ascii="Arial" w:hAnsi="Arial"/>
          <w:b w:val="1"/>
          <w:bCs w:val="1"/>
          <w:outline w:val="0"/>
          <w:color w:val="000000"/>
          <w:sz w:val="24"/>
          <w:szCs w:val="24"/>
          <w:u w:color="000000"/>
          <w:rtl w:val="0"/>
          <w:lang w:val="en-US"/>
          <w14:textFill>
            <w14:solidFill>
              <w14:srgbClr w14:val="000000"/>
            </w14:solidFill>
          </w14:textFill>
        </w:rPr>
        <w:t>Anne Alexander</w:t>
      </w: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 xml:space="preserve">Bursary applied for: </w:t>
      </w:r>
      <w:r>
        <w:rPr>
          <w:rFonts w:ascii="Arial" w:hAnsi="Arial"/>
          <w:b w:val="1"/>
          <w:bCs w:val="1"/>
          <w:outline w:val="0"/>
          <w:color w:val="000000"/>
          <w:sz w:val="24"/>
          <w:szCs w:val="24"/>
          <w:u w:color="000000"/>
          <w:rtl w:val="0"/>
          <w:lang w:val="en-US"/>
          <w14:textFill>
            <w14:solidFill>
              <w14:srgbClr w14:val="000000"/>
            </w14:solidFill>
          </w14:textFill>
        </w:rPr>
        <w:t>International Conference Bursary</w:t>
      </w: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r>
        <w:rPr>
          <w:rFonts w:ascii="Arial" w:hAnsi="Arial"/>
          <w:b w:val="1"/>
          <w:bCs w:val="1"/>
          <w:outline w:val="0"/>
          <w:color w:val="000000"/>
          <w:sz w:val="24"/>
          <w:szCs w:val="24"/>
          <w:u w:color="000000"/>
          <w:rtl w:val="0"/>
          <w:lang w:val="en-US"/>
          <w14:textFill>
            <w14:solidFill>
              <w14:srgbClr w14:val="000000"/>
            </w14:solidFill>
          </w14:textFill>
        </w:rPr>
        <w:t xml:space="preserve">Title of course attended or Project details: </w:t>
      </w:r>
      <w:r>
        <w:rPr>
          <w:rFonts w:ascii="Arial" w:hAnsi="Arial"/>
          <w:b w:val="1"/>
          <w:bCs w:val="1"/>
          <w:outline w:val="0"/>
          <w:color w:val="000000"/>
          <w:sz w:val="24"/>
          <w:szCs w:val="24"/>
          <w:u w:color="000000"/>
          <w:rtl w:val="0"/>
          <w:lang w:val="en-US"/>
          <w14:textFill>
            <w14:solidFill>
              <w14:srgbClr w14:val="000000"/>
            </w14:solidFill>
          </w14:textFill>
        </w:rPr>
        <w:t>RSSH congress in Bucharest</w:t>
      </w: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p>
    <w:p>
      <w:pPr>
        <w:pStyle w:val="Body"/>
        <w:spacing w:after="0" w:line="240" w:lineRule="auto"/>
        <w:outlineLvl w:val="3"/>
        <w:rPr>
          <w:rFonts w:ascii="Arial" w:cs="Arial" w:hAnsi="Arial" w:eastAsia="Arial"/>
          <w:b w:val="1"/>
          <w:bCs w:val="1"/>
          <w:outline w:val="0"/>
          <w:color w:val="000000"/>
          <w:sz w:val="24"/>
          <w:szCs w:val="24"/>
          <w:u w:color="000000"/>
          <w14:textFill>
            <w14:solidFill>
              <w14:srgbClr w14:val="000000"/>
            </w14:solidFill>
          </w14:textFill>
        </w:rPr>
      </w:pPr>
      <w:r>
        <w:rPr>
          <w:rFonts w:ascii="Arial" w:hAnsi="Arial"/>
          <w:b w:val="1"/>
          <w:bCs w:val="1"/>
          <w:outline w:val="0"/>
          <w:color w:val="000000"/>
          <w:sz w:val="24"/>
          <w:szCs w:val="24"/>
          <w:u w:color="000000"/>
          <w:rtl w:val="0"/>
          <w:lang w:val="de-DE"/>
          <w14:textFill>
            <w14:solidFill>
              <w14:srgbClr w14:val="000000"/>
            </w14:solidFill>
          </w14:textFill>
        </w:rPr>
        <w:t xml:space="preserve">Date: </w:t>
      </w:r>
      <w:r>
        <w:rPr>
          <w:rFonts w:ascii="Arial" w:hAnsi="Arial"/>
          <w:b w:val="1"/>
          <w:bCs w:val="1"/>
          <w:outline w:val="0"/>
          <w:color w:val="000000"/>
          <w:sz w:val="24"/>
          <w:szCs w:val="24"/>
          <w:u w:color="000000"/>
          <w:rtl w:val="0"/>
          <w:lang w:val="en-US"/>
          <w14:textFill>
            <w14:solidFill>
              <w14:srgbClr w14:val="000000"/>
            </w14:solidFill>
          </w14:textFill>
        </w:rPr>
        <w:t>23-25th October 2025</w:t>
      </w:r>
    </w:p>
    <w:p>
      <w:pPr>
        <w:pStyle w:val="Body"/>
        <w:spacing w:after="0" w:line="240" w:lineRule="auto"/>
        <w:outlineLvl w:val="3"/>
        <w:rPr>
          <w:rFonts w:ascii="Arial" w:cs="Arial" w:hAnsi="Arial" w:eastAsia="Arial"/>
          <w:b w:val="1"/>
          <w:bCs w:val="1"/>
          <w:outline w:val="0"/>
          <w:color w:val="000000"/>
          <w:u w:color="000000"/>
          <w14:textFill>
            <w14:solidFill>
              <w14:srgbClr w14:val="000000"/>
            </w14:solidFill>
          </w14:textFill>
        </w:rPr>
      </w:pPr>
    </w:p>
    <w:p>
      <w:pPr>
        <w:pStyle w:val="Body"/>
        <w:spacing w:after="0" w:line="240" w:lineRule="auto"/>
        <w:outlineLvl w:val="3"/>
        <w:rPr>
          <w:rFonts w:ascii="Arial" w:cs="Arial" w:hAnsi="Arial" w:eastAsia="Arial"/>
          <w:b w:val="1"/>
          <w:bCs w:val="1"/>
          <w:outline w:val="0"/>
          <w:color w:val="000000"/>
          <w:u w:color="000000"/>
          <w14:textFill>
            <w14:solidFill>
              <w14:srgbClr w14:val="000000"/>
            </w14:solidFill>
          </w14:textFill>
        </w:rPr>
      </w:pPr>
    </w:p>
    <w:tbl>
      <w:tblPr>
        <w:tblW w:w="892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8926"/>
      </w:tblGrid>
      <w:tr>
        <w:tblPrEx>
          <w:shd w:val="clear" w:color="auto" w:fill="d0ddef"/>
        </w:tblPrEx>
        <w:trPr>
          <w:trHeight w:val="944" w:hRule="atLeast"/>
        </w:trPr>
        <w:tc>
          <w:tcPr>
            <w:tcW w:type="dxa" w:w="8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outlineLvl w:val="3"/>
              <w:rPr>
                <w:rFonts w:ascii="Arial" w:cs="Arial" w:hAnsi="Arial" w:eastAsia="Arial"/>
                <w:b w:val="1"/>
                <w:bCs w:val="1"/>
                <w:sz w:val="24"/>
                <w:szCs w:val="24"/>
                <w:shd w:val="nil" w:color="auto" w:fill="auto"/>
              </w:rPr>
            </w:pPr>
            <w:r>
              <w:rPr>
                <w:rFonts w:ascii="Arial" w:hAnsi="Arial"/>
                <w:b w:val="1"/>
                <w:bCs w:val="1"/>
                <w:sz w:val="24"/>
                <w:szCs w:val="24"/>
                <w:shd w:val="nil" w:color="auto" w:fill="auto"/>
                <w:rtl w:val="0"/>
                <w:lang w:val="en-US"/>
              </w:rPr>
              <w:t xml:space="preserve">Introduction: </w:t>
            </w:r>
          </w:p>
          <w:p>
            <w:pPr>
              <w:pStyle w:val="Body"/>
              <w:bidi w:val="0"/>
              <w:spacing w:after="0" w:line="240" w:lineRule="auto"/>
              <w:ind w:left="0" w:right="0" w:firstLine="0"/>
              <w:jc w:val="left"/>
              <w:outlineLvl w:val="3"/>
              <w:rPr>
                <w:rtl w:val="0"/>
              </w:rPr>
            </w:pPr>
            <w:r>
              <w:rPr>
                <w:rFonts w:ascii="Arial" w:hAnsi="Arial"/>
                <w:shd w:val="nil" w:color="auto" w:fill="auto"/>
                <w:rtl w:val="0"/>
                <w:lang w:val="en-US"/>
              </w:rPr>
              <w:t>Include details of who you are, why you applied for this bursary and your experience of the event (maximum 100 words)</w:t>
            </w:r>
          </w:p>
        </w:tc>
      </w:tr>
      <w:tr>
        <w:tblPrEx>
          <w:shd w:val="clear" w:color="auto" w:fill="d0ddef"/>
        </w:tblPrEx>
        <w:trPr>
          <w:trHeight w:val="2059" w:hRule="atLeast"/>
        </w:trPr>
        <w:tc>
          <w:tcPr>
            <w:tcW w:type="dxa" w:w="8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outlineLvl w:val="3"/>
              <w:rPr>
                <w:rFonts w:ascii="Arial" w:cs="Arial" w:hAnsi="Arial" w:eastAsia="Arial"/>
                <w:lang w:val="en-US"/>
              </w:rPr>
            </w:pPr>
            <w:r>
              <w:rPr>
                <w:rFonts w:ascii="Arial" w:hAnsi="Arial"/>
                <w:rtl w:val="0"/>
                <w:lang w:val="en-US"/>
              </w:rPr>
              <w:t>I am a senior hand therapist in Oxford, and chair of the BAHT education committee. BAHT was approached by a Romanian hand therapist requesting someone to come and represent BAHT at the conference with a short presentation.</w:t>
            </w:r>
          </w:p>
          <w:p>
            <w:pPr>
              <w:pStyle w:val="Body"/>
              <w:spacing w:after="0" w:line="240" w:lineRule="auto"/>
              <w:outlineLvl w:val="3"/>
            </w:pPr>
            <w:r>
              <w:rPr>
                <w:rFonts w:ascii="Arial" w:hAnsi="Arial"/>
                <w:rtl w:val="0"/>
                <w:lang w:val="en-US"/>
              </w:rPr>
              <w:t>I applied for this bursary to support my travel and accommodation costs to represent BAHT on the International stage. I submitted an abstract for a presentation to the therapists - which was of interest to the surgeons. I therefore presented to the surgeons at the congress and completed another presentation to the therapists at congress. The event was well run - international - and informative.</w:t>
            </w:r>
          </w:p>
        </w:tc>
      </w:tr>
      <w:tr>
        <w:tblPrEx>
          <w:shd w:val="clear" w:color="auto" w:fill="d0ddef"/>
        </w:tblPrEx>
        <w:trPr>
          <w:trHeight w:val="12799" w:hRule="atLeast"/>
        </w:trPr>
        <w:tc>
          <w:tcPr>
            <w:tcW w:type="dxa" w:w="89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 (Web)"/>
              <w:rPr>
                <w:rFonts w:ascii="Arial" w:cs="Arial" w:hAnsi="Arial" w:eastAsia="Arial"/>
                <w:sz w:val="22"/>
                <w:szCs w:val="22"/>
              </w:rPr>
            </w:pPr>
            <w:r>
              <w:rPr>
                <w:rFonts w:ascii="Arial" w:hAnsi="Arial"/>
                <w:b w:val="1"/>
                <w:bCs w:val="1"/>
                <w:sz w:val="24"/>
                <w:szCs w:val="24"/>
                <w:shd w:val="nil" w:color="auto" w:fill="auto"/>
                <w:rtl w:val="0"/>
                <w:lang w:val="en-US"/>
              </w:rPr>
              <w:t xml:space="preserve">Title: </w:t>
            </w:r>
            <w:r>
              <w:rPr>
                <w:rFonts w:ascii="Arial" w:hAnsi="Arial" w:hint="default"/>
                <w:b w:val="1"/>
                <w:bCs w:val="1"/>
                <w:sz w:val="24"/>
                <w:szCs w:val="24"/>
                <w:shd w:val="nil" w:color="auto" w:fill="auto"/>
                <w:rtl w:val="0"/>
                <w:lang w:val="en-US"/>
              </w:rPr>
              <w:t>“</w:t>
            </w:r>
            <w:r>
              <w:rPr>
                <w:rFonts w:ascii="Arial" w:hAnsi="Arial"/>
                <w:b w:val="1"/>
                <w:bCs w:val="1"/>
                <w:sz w:val="24"/>
                <w:szCs w:val="24"/>
                <w:shd w:val="nil" w:color="auto" w:fill="auto"/>
                <w:rtl w:val="0"/>
                <w:lang w:val="en-US"/>
              </w:rPr>
              <w:t>What have I learned and how will I put this into practice?</w:t>
            </w:r>
            <w:r>
              <w:rPr>
                <w:rFonts w:ascii="Arial" w:hAnsi="Arial" w:hint="default"/>
                <w:b w:val="1"/>
                <w:bCs w:val="1"/>
                <w:sz w:val="24"/>
                <w:szCs w:val="24"/>
                <w:shd w:val="nil" w:color="auto" w:fill="auto"/>
                <w:rtl w:val="0"/>
                <w:lang w:val="en-US"/>
              </w:rPr>
              <w:t xml:space="preserve">” </w:t>
            </w:r>
          </w:p>
          <w:p>
            <w:pPr>
              <w:pStyle w:val="Body"/>
              <w:spacing w:after="0" w:line="240" w:lineRule="auto"/>
              <w:outlineLvl w:val="3"/>
              <w:rPr>
                <w:rFonts w:ascii="Arial" w:cs="Arial" w:hAnsi="Arial" w:eastAsia="Arial"/>
              </w:rPr>
            </w:pPr>
          </w:p>
          <w:p>
            <w:pPr>
              <w:pStyle w:val="Body"/>
              <w:spacing w:after="0" w:line="240" w:lineRule="auto"/>
              <w:outlineLvl w:val="3"/>
              <w:rPr>
                <w:rFonts w:ascii="Arial" w:cs="Arial" w:hAnsi="Arial" w:eastAsia="Arial"/>
              </w:rPr>
            </w:pPr>
            <w:r>
              <w:rPr>
                <w:rFonts w:ascii="Arial" w:hAnsi="Arial"/>
                <w:rtl w:val="0"/>
                <w:lang w:val="en-US"/>
              </w:rPr>
              <w:t>The congress, hosted by the Romanian Society for Surgery of the hand (RSSH), had a wide range of global collaboration, with thirty speakers from sixteen different countries.  The delegates represented diverse professional backgrounds; the three most prominent specialties were Plastic Surgery, Aesthetic and Reconstructive Microsurgery and Physiotherapy.  The RSSH is not yet thirty years old, and the dynamic nature of hand surgery and therapy in Romania was showcased throughout the congress.  There is a dedication in the Romanian therapists in evolving their national practice and their aims to develop a national hand therapy society.</w:t>
            </w:r>
          </w:p>
          <w:p>
            <w:pPr>
              <w:pStyle w:val="Body"/>
              <w:spacing w:after="0" w:line="240" w:lineRule="auto"/>
              <w:outlineLvl w:val="3"/>
              <w:rPr>
                <w:rFonts w:ascii="Arial" w:cs="Arial" w:hAnsi="Arial" w:eastAsia="Arial"/>
              </w:rPr>
            </w:pPr>
          </w:p>
          <w:p>
            <w:pPr>
              <w:pStyle w:val="Body"/>
              <w:spacing w:after="0" w:line="240" w:lineRule="auto"/>
              <w:outlineLvl w:val="3"/>
              <w:rPr>
                <w:rFonts w:ascii="Arial" w:cs="Arial" w:hAnsi="Arial" w:eastAsia="Arial"/>
                <w:lang w:val="en-US"/>
              </w:rPr>
            </w:pPr>
            <w:r>
              <w:rPr>
                <w:rFonts w:ascii="Arial" w:hAnsi="Arial"/>
                <w:rtl w:val="0"/>
                <w:lang w:val="en-US"/>
              </w:rPr>
              <w:t>Being able to present my research on such an international stage was an honour, and sparked interesting professional debate around the management of proximal phalanx fractures Research advocating for a therapy led approach was discussed in contrast to the current Romanian management, which is often heavily influenced by the time between initial injury and referral, the position the hand is initially casted in, and available surgical options.  This divergence in practice highlights systemic differences in patient pathways. In Romania there is regularly a time delay between the patient</w:t>
            </w:r>
            <w:r>
              <w:rPr>
                <w:rFonts w:ascii="Arial" w:hAnsi="Arial" w:hint="default"/>
                <w:rtl w:val="0"/>
                <w:lang w:val="en-US"/>
              </w:rPr>
              <w:t>’</w:t>
            </w:r>
            <w:r>
              <w:rPr>
                <w:rFonts w:ascii="Arial" w:hAnsi="Arial"/>
                <w:rtl w:val="0"/>
                <w:lang w:val="en-US"/>
              </w:rPr>
              <w:t>s emergency room presentation and a hands specific consultation, unlike the often co-located, MDT model in the UK that allows therapists to influence early management decisions.  From this discussion, a simple solution emerged of education to plaster room technicians in the emergency room, supporting them to cast the hand in a POSI position, thus avoiding stiffness in the later rehabilitation stages.</w:t>
            </w:r>
          </w:p>
          <w:p>
            <w:pPr>
              <w:pStyle w:val="Body"/>
              <w:spacing w:after="0" w:line="240" w:lineRule="auto"/>
              <w:outlineLvl w:val="3"/>
              <w:rPr>
                <w:rFonts w:ascii="Arial" w:cs="Arial" w:hAnsi="Arial" w:eastAsia="Arial"/>
                <w:lang w:val="en-US"/>
              </w:rPr>
            </w:pPr>
          </w:p>
          <w:p>
            <w:pPr>
              <w:pStyle w:val="Body"/>
              <w:spacing w:after="0" w:line="240" w:lineRule="auto"/>
              <w:outlineLvl w:val="3"/>
              <w:rPr>
                <w:rFonts w:ascii="Arial" w:cs="Arial" w:hAnsi="Arial" w:eastAsia="Arial"/>
                <w:lang w:val="en-US"/>
              </w:rPr>
            </w:pPr>
            <w:r>
              <w:rPr>
                <w:rFonts w:ascii="Arial" w:hAnsi="Arial"/>
                <w:rtl w:val="0"/>
                <w:lang w:val="en-US"/>
              </w:rPr>
              <w:t xml:space="preserve">Innovation was a central theme and one of the speakers was an Italian therapist who has developed patterns for 3D printing for proprioception </w:t>
            </w:r>
            <w:r>
              <w:rPr>
                <w:rFonts w:ascii="Arial" w:hAnsi="Arial" w:hint="default"/>
                <w:rtl w:val="0"/>
                <w:lang w:val="en-US"/>
              </w:rPr>
              <w:t>‘</w:t>
            </w:r>
            <w:r>
              <w:rPr>
                <w:rFonts w:ascii="Arial" w:hAnsi="Arial"/>
                <w:rtl w:val="0"/>
                <w:lang w:val="en-US"/>
              </w:rPr>
              <w:t>games</w:t>
            </w:r>
            <w:r>
              <w:rPr>
                <w:rFonts w:ascii="Arial" w:hAnsi="Arial" w:hint="default"/>
                <w:rtl w:val="0"/>
                <w:lang w:val="en-US"/>
              </w:rPr>
              <w:t>’</w:t>
            </w:r>
            <w:r>
              <w:rPr>
                <w:rFonts w:ascii="Arial" w:hAnsi="Arial"/>
                <w:rtl w:val="0"/>
                <w:lang w:val="en-US"/>
              </w:rPr>
              <w:t xml:space="preserve">.  They can be downloaded from her </w:t>
            </w:r>
            <w:r>
              <w:rPr>
                <w:rFonts w:ascii="Arial" w:hAnsi="Arial" w:hint="default"/>
                <w:rtl w:val="0"/>
                <w:lang w:val="en-US"/>
              </w:rPr>
              <w:t>‘</w:t>
            </w:r>
            <w:r>
              <w:rPr>
                <w:rFonts w:ascii="Arial" w:hAnsi="Arial"/>
                <w:rtl w:val="0"/>
                <w:lang w:val="en-US"/>
              </w:rPr>
              <w:t>library</w:t>
            </w:r>
            <w:r>
              <w:rPr>
                <w:rFonts w:ascii="Arial" w:hAnsi="Arial" w:hint="default"/>
                <w:rtl w:val="0"/>
                <w:lang w:val="en-US"/>
              </w:rPr>
              <w:t xml:space="preserve">’ </w:t>
            </w:r>
            <w:r>
              <w:rPr>
                <w:rFonts w:ascii="Arial" w:hAnsi="Arial"/>
                <w:rtl w:val="0"/>
                <w:lang w:val="en-US"/>
              </w:rPr>
              <w:t>and some are free to access. I felt many of these - such as the flower and the maze designs could be used to boost patient compliance and engagement with their exercise programmes.</w:t>
            </w:r>
          </w:p>
          <w:p>
            <w:pPr>
              <w:pStyle w:val="Body"/>
              <w:spacing w:after="0" w:line="240" w:lineRule="auto"/>
              <w:outlineLvl w:val="3"/>
              <w:rPr>
                <w:rFonts w:ascii="Arial" w:cs="Arial" w:hAnsi="Arial" w:eastAsia="Arial"/>
                <w:lang w:val="en-US"/>
              </w:rPr>
            </w:pPr>
          </w:p>
          <w:p>
            <w:pPr>
              <w:pStyle w:val="Body"/>
              <w:spacing w:after="0" w:line="240" w:lineRule="auto"/>
              <w:outlineLvl w:val="3"/>
              <w:rPr>
                <w:rFonts w:ascii="Arial" w:cs="Arial" w:hAnsi="Arial" w:eastAsia="Arial"/>
              </w:rPr>
            </w:pPr>
            <w:r>
              <w:rPr>
                <w:rFonts w:ascii="Arial" w:hAnsi="Arial"/>
                <w:rtl w:val="0"/>
                <w:lang w:val="en-US"/>
              </w:rPr>
              <w:t xml:space="preserve">I visited one of the private clinics, which showcased an effective integrated care model involving an Orthopaedic Surgeon, Rehabilitation Doctor and a Hand Therapist, where there was often same day surgical and rehabilitation care for minor operations.  There was also the use of ultrasound in the clinic allowing for immediate </w:t>
            </w:r>
            <w:r>
              <w:rPr>
                <w:rFonts w:ascii="Arial" w:hAnsi="Arial" w:hint="default"/>
                <w:rtl w:val="0"/>
                <w:lang w:val="en-US"/>
              </w:rPr>
              <w:t>‘</w:t>
            </w:r>
            <w:r>
              <w:rPr>
                <w:rFonts w:ascii="Arial" w:hAnsi="Arial"/>
                <w:rtl w:val="0"/>
                <w:lang w:val="en-US"/>
              </w:rPr>
              <w:t>on the spot</w:t>
            </w:r>
            <w:r>
              <w:rPr>
                <w:rFonts w:ascii="Arial" w:hAnsi="Arial" w:hint="default"/>
                <w:rtl w:val="0"/>
                <w:lang w:val="en-US"/>
              </w:rPr>
              <w:t xml:space="preserve">’ </w:t>
            </w:r>
            <w:r>
              <w:rPr>
                <w:rFonts w:ascii="Arial" w:hAnsi="Arial"/>
                <w:rtl w:val="0"/>
                <w:lang w:val="en-US"/>
              </w:rPr>
              <w:t xml:space="preserve">diagnosis, which aligns with the NHS </w:t>
            </w:r>
            <w:r>
              <w:rPr>
                <w:rFonts w:ascii="Arial" w:hAnsi="Arial" w:hint="default"/>
                <w:rtl w:val="0"/>
                <w:lang w:val="en-US"/>
              </w:rPr>
              <w:t>‘</w:t>
            </w:r>
            <w:r>
              <w:rPr>
                <w:rFonts w:ascii="Arial" w:hAnsi="Arial"/>
                <w:rtl w:val="0"/>
                <w:lang w:val="en-US"/>
              </w:rPr>
              <w:t>one stop shop</w:t>
            </w:r>
            <w:r>
              <w:rPr>
                <w:rFonts w:ascii="Arial" w:hAnsi="Arial" w:hint="default"/>
                <w:rtl w:val="0"/>
                <w:lang w:val="en-US"/>
              </w:rPr>
              <w:t xml:space="preserve">’ </w:t>
            </w:r>
            <w:r>
              <w:rPr>
                <w:rFonts w:ascii="Arial" w:hAnsi="Arial"/>
                <w:rtl w:val="0"/>
                <w:lang w:val="en-US"/>
              </w:rPr>
              <w:t xml:space="preserve">principles and </w:t>
            </w:r>
            <w:r>
              <w:rPr>
                <w:rFonts w:ascii="Arial" w:hAnsi="Arial" w:hint="default"/>
                <w:rtl w:val="0"/>
                <w:lang w:val="en-US"/>
              </w:rPr>
              <w:t>‘</w:t>
            </w:r>
            <w:r>
              <w:rPr>
                <w:rFonts w:ascii="Arial" w:hAnsi="Arial"/>
                <w:rtl w:val="0"/>
                <w:lang w:val="en-US"/>
              </w:rPr>
              <w:t>GRIFT</w:t>
            </w:r>
            <w:r>
              <w:rPr>
                <w:rFonts w:ascii="Arial" w:hAnsi="Arial" w:hint="default"/>
                <w:rtl w:val="0"/>
                <w:lang w:val="en-US"/>
              </w:rPr>
              <w:t>’</w:t>
            </w:r>
            <w:r>
              <w:rPr>
                <w:rFonts w:ascii="Arial" w:hAnsi="Arial"/>
                <w:rtl w:val="0"/>
                <w:lang w:val="en-US"/>
              </w:rPr>
              <w:t xml:space="preserve">.  Although this clinic was private, </w:t>
            </w:r>
            <w:r>
              <w:rPr>
                <w:rFonts w:ascii="Arial" w:hAnsi="Arial"/>
                <w:rtl w:val="0"/>
                <w:lang w:val="en-US"/>
              </w:rPr>
              <w:t>should the patient not be able to afford the fees, they can apply to the Government for support and their costs would be supported.  In the state (Emergency) hospitals there is no charge to the patient.</w:t>
            </w:r>
          </w:p>
          <w:p>
            <w:pPr>
              <w:pStyle w:val="Body"/>
              <w:spacing w:after="0" w:line="240" w:lineRule="auto"/>
              <w:outlineLvl w:val="3"/>
              <w:rPr>
                <w:rFonts w:ascii="Arial" w:cs="Arial" w:hAnsi="Arial" w:eastAsia="Arial"/>
              </w:rPr>
            </w:pPr>
          </w:p>
          <w:p>
            <w:pPr>
              <w:pStyle w:val="Body"/>
              <w:spacing w:after="0" w:line="240" w:lineRule="auto"/>
              <w:outlineLvl w:val="3"/>
              <w:rPr>
                <w:rFonts w:ascii="Arial" w:cs="Arial" w:hAnsi="Arial" w:eastAsia="Arial"/>
              </w:rPr>
            </w:pPr>
            <w:r>
              <w:rPr>
                <w:rFonts w:ascii="Arial" w:hAnsi="Arial"/>
                <w:rtl w:val="0"/>
                <w:lang w:val="en-US"/>
              </w:rPr>
              <w:t xml:space="preserve">There was significant discussion with many of the therapists at the conference about the history and future of Physiotherapy training in Romania, and the establishment of specialist services such as hand therapy. As a BAHT representative there was discussion around how we could potentially International support to assist Romanian therapists in forming their own National Society. A key challenge was the lack of Occupational Therapy training in Romania, which may affect their eligibility got full European Federation for Societies of the Hand (EFSHT) membership. </w:t>
            </w:r>
          </w:p>
          <w:p>
            <w:pPr>
              <w:pStyle w:val="Body"/>
              <w:spacing w:after="0" w:line="240" w:lineRule="auto"/>
              <w:outlineLvl w:val="3"/>
              <w:rPr>
                <w:rFonts w:ascii="Arial" w:cs="Arial" w:hAnsi="Arial" w:eastAsia="Arial"/>
              </w:rPr>
            </w:pPr>
          </w:p>
          <w:p>
            <w:pPr>
              <w:pStyle w:val="Body"/>
              <w:spacing w:after="0" w:line="240" w:lineRule="auto"/>
              <w:outlineLvl w:val="3"/>
              <w:rPr>
                <w:rFonts w:ascii="Arial" w:cs="Arial" w:hAnsi="Arial" w:eastAsia="Arial"/>
                <w:shd w:val="nil" w:color="auto" w:fill="auto"/>
                <w:lang w:val="en-US"/>
              </w:rPr>
            </w:pPr>
            <w:r>
              <w:rPr>
                <w:rFonts w:ascii="Arial" w:hAnsi="Arial"/>
                <w:rtl w:val="0"/>
                <w:lang w:val="en-US"/>
              </w:rPr>
              <w:t>The presentations of injury management by the therapists were inspiring as many of injury mechanisms we do not see on a regular basis in the UK.  The congress concluded with the positive prospect of continued collaboration, confirmed by the planned attendance of two Romanian therapists at the upcoming BSSH / NAHT conference in November.</w:t>
            </w: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rPr>
                <w:rFonts w:ascii="Arial" w:cs="Arial" w:hAnsi="Arial" w:eastAsia="Arial"/>
                <w:b w:val="1"/>
                <w:bCs w:val="1"/>
                <w:shd w:val="nil" w:color="auto" w:fill="auto"/>
                <w:lang w:val="en-US"/>
              </w:rPr>
            </w:pPr>
          </w:p>
          <w:p>
            <w:pPr>
              <w:pStyle w:val="Body"/>
              <w:spacing w:after="0" w:line="240" w:lineRule="auto"/>
              <w:outlineLvl w:val="3"/>
            </w:pPr>
            <w:r>
              <w:rPr>
                <w:rFonts w:ascii="Arial" w:cs="Arial" w:hAnsi="Arial" w:eastAsia="Arial"/>
                <w:b w:val="1"/>
                <w:bCs w:val="1"/>
                <w:shd w:val="nil" w:color="auto" w:fill="auto"/>
                <w:lang w:val="en-US"/>
              </w:rPr>
            </w:r>
          </w:p>
        </w:tc>
      </w:tr>
    </w:tbl>
    <w:p>
      <w:pPr>
        <w:pStyle w:val="Body"/>
        <w:widowControl w:val="0"/>
        <w:spacing w:after="0" w:line="240" w:lineRule="auto"/>
        <w:outlineLvl w:val="3"/>
      </w:pPr>
      <w:r>
        <w:rPr>
          <w:rFonts w:ascii="Arial" w:cs="Arial" w:hAnsi="Arial" w:eastAsia="Arial"/>
          <w:b w:val="1"/>
          <w:bCs w:val="1"/>
        </w:rPr>
      </w:r>
    </w:p>
    <w:sectPr>
      <w:headerReference w:type="default" r:id="rId4"/>
      <w:footerReference w:type="default" r:id="rId5"/>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000"/>
        <w:tab w:val="clear" w:pos="9026"/>
      </w:tabs>
      <w:jc w:val="center"/>
    </w:pPr>
    <w:r>
      <w:drawing xmlns:a="http://schemas.openxmlformats.org/drawingml/2006/main">
        <wp:inline distT="0" distB="0" distL="0" distR="0">
          <wp:extent cx="1539090" cy="1065522"/>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extLst/>
                  </a:blip>
                  <a:stretch>
                    <a:fillRect/>
                  </a:stretch>
                </pic:blipFill>
                <pic:spPr>
                  <a:xfrm>
                    <a:off x="0" y="0"/>
                    <a:ext cx="1539090" cy="1065522"/>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